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16710" w14:textId="77777777" w:rsidR="00102A7D" w:rsidRDefault="00102A7D" w:rsidP="00F0371B">
      <w:pPr>
        <w:jc w:val="both"/>
      </w:pPr>
      <w:r>
        <w:rPr>
          <w:rFonts w:ascii="Courier" w:hAnsi="Courier"/>
        </w:rPr>
        <w:fldChar w:fldCharType="begin"/>
      </w:r>
      <w:r>
        <w:instrText xml:space="preserve"> SEQ CHAPTER \h \r 1</w:instrText>
      </w:r>
      <w:r>
        <w:fldChar w:fldCharType="end"/>
      </w:r>
      <w:r>
        <w:rPr>
          <w:u w:val="single"/>
        </w:rPr>
        <w:t>Students</w:t>
      </w:r>
    </w:p>
    <w:p w14:paraId="048BBB84" w14:textId="77777777" w:rsidR="00102A7D" w:rsidRDefault="00102A7D" w:rsidP="00F0371B">
      <w:pPr>
        <w:jc w:val="both"/>
      </w:pPr>
    </w:p>
    <w:p w14:paraId="7FA55D3D" w14:textId="77777777" w:rsidR="00102A7D" w:rsidRDefault="00102A7D" w:rsidP="00F0371B">
      <w:pPr>
        <w:jc w:val="both"/>
      </w:pPr>
      <w:r>
        <w:rPr>
          <w:u w:val="single"/>
        </w:rPr>
        <w:t>Early Completion Plan</w:t>
      </w:r>
    </w:p>
    <w:p w14:paraId="05F6E666" w14:textId="77777777" w:rsidR="00102A7D" w:rsidRDefault="00102A7D" w:rsidP="00F0371B">
      <w:pPr>
        <w:jc w:val="both"/>
      </w:pPr>
    </w:p>
    <w:p w14:paraId="6BF186A2" w14:textId="19A000F0" w:rsidR="00102A7D" w:rsidRDefault="00952B6E" w:rsidP="00F0371B">
      <w:pPr>
        <w:jc w:val="both"/>
      </w:pPr>
      <w:r>
        <w:t>McCook</w:t>
      </w:r>
      <w:r w:rsidR="00102A7D">
        <w:t xml:space="preserve"> Public Schools supports the concept of early completion as a means of accelerating students toward the achievement of lifetime plans.  The following guidelines have been established for students to be eligible for early completion.  The failure to meet any of the criteria or time lines listed in the policy may cause the student to become ineligible for early completion.</w:t>
      </w:r>
    </w:p>
    <w:p w14:paraId="2BC6DBCE" w14:textId="77777777" w:rsidR="00102A7D" w:rsidRDefault="00102A7D" w:rsidP="00F0371B">
      <w:pPr>
        <w:jc w:val="both"/>
      </w:pPr>
    </w:p>
    <w:p w14:paraId="06EB377F" w14:textId="5253F60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(1) </w:t>
      </w:r>
      <w:r w:rsidR="007F7CC6">
        <w:tab/>
      </w:r>
      <w:r>
        <w:t xml:space="preserve">A student will be allowed to transfer in a maximum of twenty (20) hours from educational courses taken outside the </w:t>
      </w:r>
      <w:r w:rsidR="00952B6E">
        <w:t>McCook</w:t>
      </w:r>
      <w:r>
        <w:t xml:space="preserve"> Public School District.  These courses must have prior approval by the high school principal in order to be used to meet the graduation requirements of the </w:t>
      </w:r>
      <w:r w:rsidR="00952B6E">
        <w:t>McCook</w:t>
      </w:r>
      <w:r>
        <w:t xml:space="preserve"> Public Schools.  Students transferring into </w:t>
      </w:r>
      <w:r w:rsidR="00952B6E">
        <w:t>McCook</w:t>
      </w:r>
      <w:r>
        <w:t xml:space="preserve"> Public Schools may transfer in hours that are listed on their official Transcript.</w:t>
      </w:r>
    </w:p>
    <w:p w14:paraId="08BCA57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8243453"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(2) </w:t>
      </w:r>
      <w:r w:rsidR="007F7CC6">
        <w:tab/>
      </w:r>
      <w:r>
        <w:t>A student will be able to use only five (5) hours of transfer credit in any one subject matter area.</w:t>
      </w:r>
    </w:p>
    <w:p w14:paraId="2FF81E2F"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5CAAB63B"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(3) </w:t>
      </w:r>
      <w:r w:rsidR="007F7CC6">
        <w:tab/>
      </w:r>
      <w:r>
        <w:t>Students must meet all completion requirements established by the Board of Education in order to be eligible for completion as well as the credit hour requirements in each specific subject matter area.</w:t>
      </w:r>
    </w:p>
    <w:p w14:paraId="1C1DE860"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26876C7"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(4) </w:t>
      </w:r>
      <w:r w:rsidR="007F7CC6">
        <w:tab/>
      </w:r>
      <w:r>
        <w:t>Application for early completion must be requested, in writing, to the high school principal by February 1 of the applicant’s Junior year of high school.  The application must be accompanied by a written plan of action stating the reasons why the student is requesting early completion.  The application must contain the signatures of the applicant’s parents/parent/guardian to verify parental approval of early completion.</w:t>
      </w:r>
    </w:p>
    <w:p w14:paraId="3CA18A3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1C3FEBE6"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(5) </w:t>
      </w:r>
      <w:r w:rsidR="007F7CC6">
        <w:tab/>
      </w:r>
      <w:r>
        <w:t>Along with the application, the applicant must submit three (3) letters of recommendation supporting the student’s request for early completion.  These three (3) letters of recommendation must contain one (1) letter from the high school guidance counselor, along with two (2) letters from other secondary staff members.</w:t>
      </w:r>
    </w:p>
    <w:p w14:paraId="5B49857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E91CE78"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(6) </w:t>
      </w:r>
      <w:r w:rsidR="007F7CC6">
        <w:tab/>
      </w:r>
      <w:r>
        <w:t>The Board of Education will make the final decision in regards to an applicant’s early completion at the April board meeting of the applicant’s Junior year.  The applicant and his</w:t>
      </w:r>
      <w:r w:rsidR="007F7CC6">
        <w:t xml:space="preserve"> or her parents</w:t>
      </w:r>
      <w:r>
        <w:t>/guardian must be present at this meeting in order for the board to take action.</w:t>
      </w:r>
    </w:p>
    <w:p w14:paraId="2AAA99D4"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6DDC1163"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(7) </w:t>
      </w:r>
      <w:r w:rsidR="007F7CC6">
        <w:tab/>
      </w:r>
      <w:r>
        <w:t xml:space="preserve">Once given approval, the applicant will have until February 1 of </w:t>
      </w:r>
      <w:r w:rsidR="007F7CC6">
        <w:t>the applicant’</w:t>
      </w:r>
      <w:r>
        <w:t xml:space="preserve">s Senior year to notify the high school principal of </w:t>
      </w:r>
      <w:r w:rsidR="007F7CC6">
        <w:t xml:space="preserve">the applicant’s </w:t>
      </w:r>
      <w:r>
        <w:t xml:space="preserve">decision in regards to participating in the regularly scheduled graduation ceremony.  The applicant must also attend one (1) Commencement practice in order to participate in the Commencement ceremony.  No early </w:t>
      </w:r>
      <w:r>
        <w:lastRenderedPageBreak/>
        <w:t xml:space="preserve">graduation ceremonies will be provided for </w:t>
      </w:r>
      <w:r w:rsidR="00F0371B">
        <w:t xml:space="preserve">a </w:t>
      </w:r>
      <w:r>
        <w:t>student who opt</w:t>
      </w:r>
      <w:r w:rsidR="00F0371B">
        <w:t>s</w:t>
      </w:r>
      <w:r>
        <w:t xml:space="preserve"> for the early completion route.</w:t>
      </w:r>
    </w:p>
    <w:p w14:paraId="2E93E5B9"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7AE0AD44"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(8) </w:t>
      </w:r>
      <w:r w:rsidR="007F7CC6">
        <w:tab/>
      </w:r>
      <w:r>
        <w:t xml:space="preserve">A student who decided to opt for early completion is not eligible to participate in school sponsored activities following the last day </w:t>
      </w:r>
      <w:r w:rsidR="007F7CC6">
        <w:t>t</w:t>
      </w:r>
      <w:r>
        <w:t>he</w:t>
      </w:r>
      <w:r w:rsidR="007F7CC6">
        <w:t xml:space="preserve"> student</w:t>
      </w:r>
      <w:r>
        <w:t xml:space="preserve"> attends classes.  The effective date for participation will end with the last day that the student is enrolled in classes.  The only school activity that the applicant is eligible for will be the regularly scheduled graduation ceremony.</w:t>
      </w:r>
    </w:p>
    <w:p w14:paraId="1863F959"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E6197AF" w14:textId="77777777" w:rsidR="00102A7D" w:rsidRDefault="00102A7D" w:rsidP="007F7C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720" w:hanging="720"/>
        <w:jc w:val="both"/>
      </w:pPr>
      <w:r>
        <w:t xml:space="preserve">(9) </w:t>
      </w:r>
      <w:r w:rsidR="007F7CC6">
        <w:tab/>
      </w:r>
      <w:r>
        <w:t>This policy shall be evaluated annually by the high school principal and appropriate revisions shall be recommended to the Board for its consideration.</w:t>
      </w:r>
    </w:p>
    <w:p w14:paraId="1104F1F0"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05C2441B"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08BB70F7"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19E96D34"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B0F239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7ED4CDBD"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4E5B7DB"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3BCB317D"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7D36559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87E38C8"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0D5509AE"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12611475"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315A817B"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78260F44"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67249DC2"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02C517A3"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5E287ADD" w14:textId="77777777" w:rsidR="00102A7D" w:rsidRDefault="00102A7D"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51FE6866"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7F7E20E"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6BA7F41F"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54D3C94"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1F19C239"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3A3CD0FC"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A2A29F0"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4E97C696"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2FAA3FA3" w14:textId="77777777" w:rsidR="007F7CC6" w:rsidRDefault="007F7CC6" w:rsidP="00F037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p>
    <w:p w14:paraId="31580D35" w14:textId="77777777" w:rsidR="00A2306C" w:rsidRDefault="00A2306C" w:rsidP="00F03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19FF7E8D" w14:textId="77777777" w:rsidR="00A2306C" w:rsidRDefault="00A2306C" w:rsidP="00F03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79A6A7F5" w14:textId="77777777" w:rsidR="00CF4C62" w:rsidRDefault="00CF4C62" w:rsidP="00F03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09865FD0" w14:textId="77777777" w:rsidR="00CF4C62" w:rsidRDefault="00CF4C62" w:rsidP="00F03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03166125" w14:textId="77777777" w:rsidR="00CF4C62" w:rsidRDefault="00CF4C62" w:rsidP="00F037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0C996CDC" w14:textId="3ABE9539" w:rsidR="00102A7D" w:rsidRPr="002748A5" w:rsidRDefault="002748A5" w:rsidP="002748A5">
      <w:pPr>
        <w:spacing w:line="0" w:lineRule="atLeast"/>
        <w:jc w:val="both"/>
        <w:rPr>
          <w:szCs w:val="24"/>
        </w:rPr>
      </w:pPr>
      <w:r>
        <w:rPr>
          <w:szCs w:val="24"/>
        </w:rPr>
        <w:t>Date of Adoption:</w:t>
      </w:r>
      <w:r>
        <w:rPr>
          <w:szCs w:val="24"/>
        </w:rPr>
        <w:tab/>
      </w:r>
      <w:r w:rsidR="00952B6E">
        <w:t>_____________________, 2023</w:t>
      </w:r>
    </w:p>
    <w:sectPr w:rsidR="00102A7D" w:rsidRPr="002748A5" w:rsidSect="001978B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6B47" w14:textId="77777777" w:rsidR="008A79C3" w:rsidRDefault="008A79C3">
      <w:r>
        <w:separator/>
      </w:r>
    </w:p>
  </w:endnote>
  <w:endnote w:type="continuationSeparator" w:id="0">
    <w:p w14:paraId="15E88FE1" w14:textId="77777777" w:rsidR="008A79C3" w:rsidRDefault="008A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88EA" w14:textId="77777777" w:rsidR="00FC7841" w:rsidRDefault="00FC7841" w:rsidP="00A43B1A">
    <w:pPr>
      <w:tabs>
        <w:tab w:val="left" w:pos="0"/>
        <w:tab w:val="center" w:pos="4680"/>
        <w:tab w:val="right" w:pos="9360"/>
      </w:tabs>
      <w:jc w:val="cent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A36568">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F4C62">
      <w:rPr>
        <w:rStyle w:val="PageNumber"/>
        <w:noProof/>
      </w:rPr>
      <w:t>2</w:t>
    </w:r>
    <w:r>
      <w:rPr>
        <w:rStyle w:val="PageNumber"/>
      </w:rPr>
      <w:fldChar w:fldCharType="end"/>
    </w:r>
  </w:p>
  <w:p w14:paraId="13EC3C26" w14:textId="77777777" w:rsidR="00FC7841" w:rsidRDefault="00FC7841" w:rsidP="00A43B1A">
    <w:pPr>
      <w:tabs>
        <w:tab w:val="left" w:pos="0"/>
        <w:tab w:val="center" w:pos="4680"/>
        <w:tab w:val="right" w:pos="936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7961" w14:textId="77777777" w:rsidR="00FC7841" w:rsidRDefault="00FC7841" w:rsidP="00A43B1A">
    <w:pPr>
      <w:tabs>
        <w:tab w:val="left" w:pos="0"/>
        <w:tab w:val="center" w:pos="4680"/>
        <w:tab w:val="right" w:pos="9360"/>
      </w:tabs>
      <w:spacing w:line="0" w:lineRule="atLeast"/>
      <w:jc w:val="cent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D26C7A">
      <w:rPr>
        <w:rStyle w:val="PageNumber"/>
        <w:noProof/>
      </w:rPr>
      <w:t>1</w:t>
    </w:r>
    <w:r>
      <w:rPr>
        <w:rStyle w:val="PageNumber"/>
      </w:rPr>
      <w:fldChar w:fldCharType="end"/>
    </w:r>
    <w:r>
      <w:rPr>
        <w:rStyle w:val="PageNumber"/>
      </w:rPr>
      <w:t xml:space="preserve"> of </w:t>
    </w:r>
    <w:r w:rsidR="00D26C7A">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D26C7A">
      <w:rPr>
        <w:rStyle w:val="PageNumber"/>
        <w:noProof/>
      </w:rPr>
      <w:t>2</w:t>
    </w:r>
    <w:r>
      <w:rPr>
        <w:rStyle w:val="PageNumber"/>
      </w:rPr>
      <w:fldChar w:fldCharType="end"/>
    </w:r>
  </w:p>
  <w:p w14:paraId="680C7466" w14:textId="77777777" w:rsidR="00FC7841" w:rsidRDefault="00FC7841" w:rsidP="00A43B1A">
    <w:pPr>
      <w:tabs>
        <w:tab w:val="left" w:pos="0"/>
        <w:tab w:val="center" w:pos="4680"/>
        <w:tab w:val="right" w:pos="9360"/>
      </w:tabs>
      <w:spacing w:line="0" w:lineRule="atLeast"/>
      <w:jc w:val="cen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F209" w14:textId="77777777" w:rsidR="008A79C3" w:rsidRDefault="008A79C3">
      <w:r>
        <w:separator/>
      </w:r>
    </w:p>
  </w:footnote>
  <w:footnote w:type="continuationSeparator" w:id="0">
    <w:p w14:paraId="113462CC" w14:textId="77777777" w:rsidR="008A79C3" w:rsidRDefault="008A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C7D0" w14:textId="77777777" w:rsidR="00FC7841" w:rsidRDefault="00FC7841">
    <w:pPr>
      <w:tabs>
        <w:tab w:val="left" w:pos="0"/>
        <w:tab w:val="center" w:pos="4680"/>
        <w:tab w:val="right" w:pos="9360"/>
      </w:tabs>
      <w:rPr>
        <w:rFonts w:ascii="Courier" w:hAnsi="Courier"/>
        <w:sz w:val="20"/>
      </w:rPr>
    </w:pPr>
    <w:r>
      <w:t>Article 5</w:t>
    </w:r>
    <w:r>
      <w:tab/>
    </w:r>
    <w:r>
      <w:rPr>
        <w:b/>
      </w:rPr>
      <w:t>STUDENTS</w:t>
    </w:r>
    <w:r>
      <w:tab/>
      <w:t>Policy No. 5206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905F" w14:textId="77777777" w:rsidR="00FC7841" w:rsidRDefault="00FC7841">
    <w:pPr>
      <w:tabs>
        <w:tab w:val="left" w:pos="0"/>
        <w:tab w:val="center" w:pos="4680"/>
        <w:tab w:val="right" w:pos="9360"/>
      </w:tabs>
      <w:rPr>
        <w:rFonts w:ascii="Courier" w:hAnsi="Courier"/>
        <w:sz w:val="20"/>
      </w:rPr>
    </w:pPr>
    <w:r>
      <w:t>Article 5</w:t>
    </w:r>
    <w:r>
      <w:tab/>
    </w:r>
    <w:r>
      <w:rPr>
        <w:b/>
      </w:rPr>
      <w:t>STUDENTS</w:t>
    </w:r>
    <w:r>
      <w:tab/>
      <w:t>Policy No. 5206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71B"/>
    <w:rsid w:val="00020FFE"/>
    <w:rsid w:val="000F0042"/>
    <w:rsid w:val="00102A7D"/>
    <w:rsid w:val="001978B0"/>
    <w:rsid w:val="00223D84"/>
    <w:rsid w:val="002748A5"/>
    <w:rsid w:val="00491089"/>
    <w:rsid w:val="004C68EB"/>
    <w:rsid w:val="005C0527"/>
    <w:rsid w:val="0066391C"/>
    <w:rsid w:val="007B69B7"/>
    <w:rsid w:val="007F7CC6"/>
    <w:rsid w:val="00845228"/>
    <w:rsid w:val="008A79C3"/>
    <w:rsid w:val="00952B6E"/>
    <w:rsid w:val="009A0964"/>
    <w:rsid w:val="009B5B1F"/>
    <w:rsid w:val="00A00553"/>
    <w:rsid w:val="00A21F6F"/>
    <w:rsid w:val="00A2306C"/>
    <w:rsid w:val="00A36568"/>
    <w:rsid w:val="00A43B1A"/>
    <w:rsid w:val="00BA02D8"/>
    <w:rsid w:val="00CF4C62"/>
    <w:rsid w:val="00D26C7A"/>
    <w:rsid w:val="00D45926"/>
    <w:rsid w:val="00F0371B"/>
    <w:rsid w:val="00F054BE"/>
    <w:rsid w:val="00FC7841"/>
    <w:rsid w:val="00FF3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294B6"/>
  <w15:chartTrackingRefBased/>
  <w15:docId w15:val="{CCA471BB-ACE8-4224-9BBB-0487A7BD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43B1A"/>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A43B1A"/>
    <w:pPr>
      <w:tabs>
        <w:tab w:val="center" w:pos="4320"/>
        <w:tab w:val="right" w:pos="8640"/>
      </w:tabs>
    </w:pPr>
  </w:style>
  <w:style w:type="character" w:styleId="PageNumber">
    <w:name w:val="page number"/>
    <w:basedOn w:val="DefaultParagraphFont"/>
    <w:rsid w:val="00A4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2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Greg Perry</dc:creator>
  <cp:keywords/>
  <cp:lastModifiedBy>Sierra Meints</cp:lastModifiedBy>
  <cp:revision>3</cp:revision>
  <cp:lastPrinted>2009-01-06T21:27:00Z</cp:lastPrinted>
  <dcterms:created xsi:type="dcterms:W3CDTF">2023-08-10T13:55:00Z</dcterms:created>
  <dcterms:modified xsi:type="dcterms:W3CDTF">2023-08-16T20:37:00Z</dcterms:modified>
</cp:coreProperties>
</file>